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BB44" w14:textId="2A207F44" w:rsidR="0051431D" w:rsidRPr="0051431D" w:rsidRDefault="0051431D" w:rsidP="0051431D">
      <w:pPr>
        <w:rPr>
          <w:rFonts w:ascii="Calibri" w:hAnsi="Calibri" w:cs="Calibri"/>
          <w:sz w:val="28"/>
          <w:szCs w:val="28"/>
        </w:rPr>
      </w:pPr>
      <w:r w:rsidRPr="0051431D">
        <w:rPr>
          <w:rFonts w:ascii="Calibri" w:hAnsi="Calibri" w:cs="Calibri"/>
          <w:b/>
          <w:bCs/>
          <w:sz w:val="28"/>
          <w:szCs w:val="28"/>
        </w:rPr>
        <w:t>Pressmeddelande</w:t>
      </w:r>
      <w:r>
        <w:rPr>
          <w:rFonts w:ascii="Calibri" w:hAnsi="Calibri" w:cs="Calibri"/>
          <w:b/>
          <w:bCs/>
          <w:sz w:val="28"/>
          <w:szCs w:val="28"/>
        </w:rPr>
        <w:t xml:space="preserve"> 2025-10-06</w:t>
      </w:r>
    </w:p>
    <w:p w14:paraId="12CD4EEE" w14:textId="354F64A6" w:rsidR="0051431D" w:rsidRPr="0051431D" w:rsidRDefault="0051431D" w:rsidP="0051431D">
      <w:pPr>
        <w:rPr>
          <w:sz w:val="28"/>
          <w:szCs w:val="28"/>
        </w:rPr>
      </w:pPr>
      <w:r w:rsidRPr="0051431D">
        <w:rPr>
          <w:rFonts w:ascii="Calibri" w:hAnsi="Calibri" w:cs="Calibri"/>
          <w:b/>
          <w:bCs/>
          <w:sz w:val="44"/>
          <w:szCs w:val="44"/>
        </w:rPr>
        <w:t>Handbollsligan skapar samhällsnytta för över 330 miljoner kronor – #viställerupp gör skillnad</w:t>
      </w:r>
    </w:p>
    <w:p w14:paraId="1697186C" w14:textId="5C4DCF1E" w:rsidR="0051431D" w:rsidRDefault="0051431D" w:rsidP="0051431D">
      <w:pPr>
        <w:rPr>
          <w:rFonts w:ascii="Calibri" w:hAnsi="Calibri" w:cs="Calibri"/>
        </w:rPr>
      </w:pPr>
      <w:r w:rsidRPr="0051431D">
        <w:rPr>
          <w:rFonts w:ascii="Calibri" w:hAnsi="Calibri" w:cs="Calibri"/>
        </w:rPr>
        <w:t xml:space="preserve">Handbollsligans elitföreningar har under säsongen 2024/2025 fortsatt att visa att handboll är så mycket mer än vad som sker på planen. Genom initiativet </w:t>
      </w:r>
      <w:r w:rsidRPr="0051431D">
        <w:rPr>
          <w:rFonts w:ascii="Calibri" w:hAnsi="Calibri" w:cs="Calibri"/>
          <w:b/>
          <w:bCs/>
        </w:rPr>
        <w:t>#viställerupp</w:t>
      </w:r>
      <w:r w:rsidRPr="0051431D">
        <w:rPr>
          <w:rFonts w:ascii="Calibri" w:hAnsi="Calibri" w:cs="Calibri"/>
        </w:rPr>
        <w:t xml:space="preserve"> har föreningarna bedrivit ett omfattande arbete för att främja hälsa, jämställdhet, inkludering och hållbara samhällen över hela landet. </w:t>
      </w:r>
    </w:p>
    <w:p w14:paraId="0E4B7103" w14:textId="2A28B0D3" w:rsidR="00985991" w:rsidRPr="0051431D" w:rsidRDefault="0051431D" w:rsidP="0051431D">
      <w:pPr>
        <w:rPr>
          <w:rFonts w:ascii="Calibri" w:hAnsi="Calibri" w:cs="Calibri"/>
        </w:rPr>
      </w:pPr>
      <w:r w:rsidRPr="0051431D">
        <w:rPr>
          <w:rFonts w:ascii="Calibri" w:hAnsi="Calibri" w:cs="Calibri"/>
        </w:rPr>
        <w:t>Den nya samhällsrapporten visar att det totala samhällsekonomiska värdet av dessa insatse</w:t>
      </w:r>
      <w:r w:rsidRPr="00B95CE6">
        <w:rPr>
          <w:rFonts w:ascii="Calibri" w:hAnsi="Calibri" w:cs="Calibri"/>
          <w:color w:val="000000" w:themeColor="text1"/>
        </w:rPr>
        <w:t xml:space="preserve">r nu överstiger </w:t>
      </w:r>
      <w:r w:rsidRPr="00B95CE6">
        <w:rPr>
          <w:rFonts w:ascii="Calibri" w:hAnsi="Calibri" w:cs="Calibri"/>
          <w:b/>
          <w:bCs/>
          <w:color w:val="000000" w:themeColor="text1"/>
        </w:rPr>
        <w:t>332 miljoner kronor</w:t>
      </w:r>
      <w:r w:rsidR="009D4935" w:rsidRPr="00B95CE6">
        <w:rPr>
          <w:rFonts w:ascii="Calibri" w:hAnsi="Calibri" w:cs="Calibri"/>
          <w:color w:val="000000" w:themeColor="text1"/>
        </w:rPr>
        <w:t xml:space="preserve">, vilket </w:t>
      </w:r>
      <w:r w:rsidR="00317C84" w:rsidRPr="00B95CE6">
        <w:rPr>
          <w:rFonts w:ascii="Calibri" w:hAnsi="Calibri" w:cs="Calibri"/>
          <w:color w:val="000000" w:themeColor="text1"/>
        </w:rPr>
        <w:t xml:space="preserve">är en ökning från föregående år med </w:t>
      </w:r>
      <w:r w:rsidR="009D4935" w:rsidRPr="00B95CE6">
        <w:rPr>
          <w:rFonts w:ascii="Calibri" w:hAnsi="Calibri" w:cs="Calibri"/>
          <w:color w:val="000000" w:themeColor="text1"/>
        </w:rPr>
        <w:t>18 procent.</w:t>
      </w:r>
      <w:r w:rsidR="009D4935" w:rsidRPr="00282F9C">
        <w:rPr>
          <w:rFonts w:ascii="Calibri" w:hAnsi="Calibri" w:cs="Calibri"/>
          <w:color w:val="EE0000"/>
        </w:rPr>
        <w:t xml:space="preserve"> </w:t>
      </w:r>
      <w:r w:rsidR="00985991" w:rsidRPr="00985991">
        <w:rPr>
          <w:rFonts w:ascii="Calibri" w:hAnsi="Calibri" w:cs="Calibri"/>
        </w:rPr>
        <w:t xml:space="preserve">Siffrorna bygger på en samhällsekonomisk analys som </w:t>
      </w:r>
      <w:r w:rsidR="00985991">
        <w:rPr>
          <w:rFonts w:ascii="Calibri" w:hAnsi="Calibri" w:cs="Calibri"/>
        </w:rPr>
        <w:t xml:space="preserve">idrottsekonomen Björn Anders Larsson på Idrottsekonomiskt Centrum i Lund räknat fram. </w:t>
      </w:r>
    </w:p>
    <w:p w14:paraId="3397B5FF" w14:textId="1F11D3A4" w:rsidR="0051431D" w:rsidRPr="0051431D" w:rsidRDefault="0051431D" w:rsidP="0051431D">
      <w:pPr>
        <w:rPr>
          <w:rFonts w:ascii="Calibri" w:hAnsi="Calibri" w:cs="Calibri"/>
        </w:rPr>
      </w:pPr>
      <w:r w:rsidRPr="0051431D">
        <w:rPr>
          <w:rFonts w:ascii="Calibri" w:hAnsi="Calibri" w:cs="Calibri"/>
        </w:rPr>
        <w:t>– Det är med stolthet vi presenterar årets samhällsrapport för Handbollsligans sociala arbete inom #viställerupp. Den visar att idrottens värderingar, när de omsätts i handling, har kraft att förändra samhället på riktigt, säger Peter Gentzel, VD för Svensk Elithandboll.</w:t>
      </w:r>
    </w:p>
    <w:p w14:paraId="5E2DBE71" w14:textId="77777777" w:rsidR="0051431D" w:rsidRPr="0051431D" w:rsidRDefault="0051431D" w:rsidP="0051431D">
      <w:pPr>
        <w:rPr>
          <w:rFonts w:ascii="Calibri" w:hAnsi="Calibri" w:cs="Calibri"/>
        </w:rPr>
      </w:pPr>
      <w:r w:rsidRPr="0051431D">
        <w:rPr>
          <w:rFonts w:ascii="Calibri" w:hAnsi="Calibri" w:cs="Calibri"/>
          <w:b/>
          <w:bCs/>
        </w:rPr>
        <w:t>Nyckeltal ur rapporten:</w:t>
      </w:r>
    </w:p>
    <w:p w14:paraId="1BEFE7D8" w14:textId="77777777" w:rsidR="0051431D" w:rsidRPr="0051431D" w:rsidRDefault="0051431D" w:rsidP="0051431D">
      <w:pPr>
        <w:numPr>
          <w:ilvl w:val="0"/>
          <w:numId w:val="1"/>
        </w:numPr>
        <w:rPr>
          <w:rFonts w:ascii="Calibri" w:hAnsi="Calibri" w:cs="Calibri"/>
        </w:rPr>
      </w:pPr>
      <w:r w:rsidRPr="0051431D">
        <w:rPr>
          <w:rFonts w:ascii="Calibri" w:hAnsi="Calibri" w:cs="Calibri"/>
          <w:b/>
          <w:bCs/>
        </w:rPr>
        <w:t>14 000</w:t>
      </w:r>
      <w:r w:rsidRPr="0051431D">
        <w:rPr>
          <w:rFonts w:ascii="Calibri" w:hAnsi="Calibri" w:cs="Calibri"/>
        </w:rPr>
        <w:t xml:space="preserve"> barn och unga har deltagit i ordinarie verksamhet, ytterligare </w:t>
      </w:r>
      <w:r w:rsidRPr="0051431D">
        <w:rPr>
          <w:rFonts w:ascii="Calibri" w:hAnsi="Calibri" w:cs="Calibri"/>
          <w:b/>
          <w:bCs/>
        </w:rPr>
        <w:t>25 000</w:t>
      </w:r>
      <w:r w:rsidRPr="0051431D">
        <w:rPr>
          <w:rFonts w:ascii="Calibri" w:hAnsi="Calibri" w:cs="Calibri"/>
        </w:rPr>
        <w:t xml:space="preserve"> i skol- och fritidsaktiviteter.</w:t>
      </w:r>
    </w:p>
    <w:p w14:paraId="5D9E076F" w14:textId="77777777" w:rsidR="0051431D" w:rsidRPr="0051431D" w:rsidRDefault="0051431D" w:rsidP="0051431D">
      <w:pPr>
        <w:numPr>
          <w:ilvl w:val="0"/>
          <w:numId w:val="1"/>
        </w:numPr>
        <w:rPr>
          <w:rFonts w:ascii="Calibri" w:hAnsi="Calibri" w:cs="Calibri"/>
        </w:rPr>
      </w:pPr>
      <w:r w:rsidRPr="0051431D">
        <w:rPr>
          <w:rFonts w:ascii="Calibri" w:hAnsi="Calibri" w:cs="Calibri"/>
          <w:b/>
          <w:bCs/>
        </w:rPr>
        <w:t>2 665</w:t>
      </w:r>
      <w:r w:rsidRPr="0051431D">
        <w:rPr>
          <w:rFonts w:ascii="Calibri" w:hAnsi="Calibri" w:cs="Calibri"/>
        </w:rPr>
        <w:t xml:space="preserve"> ideella ledare har engagerat sig, motsvarande ett värde på </w:t>
      </w:r>
      <w:r w:rsidRPr="0051431D">
        <w:rPr>
          <w:rFonts w:ascii="Calibri" w:hAnsi="Calibri" w:cs="Calibri"/>
          <w:b/>
          <w:bCs/>
        </w:rPr>
        <w:t>162 miljoner kronor</w:t>
      </w:r>
      <w:r w:rsidRPr="0051431D">
        <w:rPr>
          <w:rFonts w:ascii="Calibri" w:hAnsi="Calibri" w:cs="Calibri"/>
        </w:rPr>
        <w:t>.</w:t>
      </w:r>
    </w:p>
    <w:p w14:paraId="12900F7C" w14:textId="300F981A" w:rsidR="0051431D" w:rsidRPr="0051431D" w:rsidRDefault="0051431D" w:rsidP="0051431D">
      <w:pPr>
        <w:numPr>
          <w:ilvl w:val="0"/>
          <w:numId w:val="1"/>
        </w:numPr>
        <w:rPr>
          <w:rFonts w:ascii="Calibri" w:hAnsi="Calibri" w:cs="Calibri"/>
        </w:rPr>
      </w:pPr>
      <w:r w:rsidRPr="0051431D">
        <w:rPr>
          <w:rFonts w:ascii="Calibri" w:hAnsi="Calibri" w:cs="Calibri"/>
          <w:b/>
          <w:bCs/>
        </w:rPr>
        <w:t>53 %</w:t>
      </w:r>
      <w:r w:rsidRPr="0051431D">
        <w:rPr>
          <w:rFonts w:ascii="Calibri" w:hAnsi="Calibri" w:cs="Calibri"/>
        </w:rPr>
        <w:t xml:space="preserve"> av ungdomsspelarna är tjejer, och </w:t>
      </w:r>
      <w:r w:rsidRPr="0051431D">
        <w:rPr>
          <w:rFonts w:ascii="Calibri" w:hAnsi="Calibri" w:cs="Calibri"/>
          <w:b/>
          <w:bCs/>
        </w:rPr>
        <w:t>42 %</w:t>
      </w:r>
      <w:r w:rsidRPr="0051431D">
        <w:rPr>
          <w:rFonts w:ascii="Calibri" w:hAnsi="Calibri" w:cs="Calibri"/>
        </w:rPr>
        <w:t xml:space="preserve"> av ledarna är kvinnor.</w:t>
      </w:r>
    </w:p>
    <w:p w14:paraId="3BAEB993" w14:textId="38B093AC" w:rsidR="0051431D" w:rsidRPr="0051431D" w:rsidRDefault="0051431D" w:rsidP="0051431D">
      <w:pPr>
        <w:numPr>
          <w:ilvl w:val="0"/>
          <w:numId w:val="1"/>
        </w:numPr>
        <w:rPr>
          <w:rFonts w:ascii="Calibri" w:hAnsi="Calibri" w:cs="Calibri"/>
        </w:rPr>
      </w:pPr>
      <w:r w:rsidRPr="0051431D">
        <w:rPr>
          <w:rFonts w:ascii="Calibri" w:hAnsi="Calibri" w:cs="Calibri"/>
          <w:b/>
          <w:bCs/>
        </w:rPr>
        <w:t>10 000</w:t>
      </w:r>
      <w:r w:rsidRPr="0051431D">
        <w:rPr>
          <w:rFonts w:ascii="Calibri" w:hAnsi="Calibri" w:cs="Calibri"/>
        </w:rPr>
        <w:t xml:space="preserve"> individer har aktiverats genom integrationsinsatser, och </w:t>
      </w:r>
      <w:r w:rsidRPr="0051431D">
        <w:rPr>
          <w:rFonts w:ascii="Calibri" w:hAnsi="Calibri" w:cs="Calibri"/>
          <w:b/>
          <w:bCs/>
        </w:rPr>
        <w:t>600</w:t>
      </w:r>
      <w:r w:rsidRPr="0051431D">
        <w:rPr>
          <w:rFonts w:ascii="Calibri" w:hAnsi="Calibri" w:cs="Calibri"/>
        </w:rPr>
        <w:t xml:space="preserve"> </w:t>
      </w:r>
      <w:r w:rsidR="00985991">
        <w:rPr>
          <w:rFonts w:ascii="Calibri" w:hAnsi="Calibri" w:cs="Calibri"/>
        </w:rPr>
        <w:t>har deltagit i föreningarnas</w:t>
      </w:r>
      <w:r w:rsidRPr="0051431D">
        <w:rPr>
          <w:rFonts w:ascii="Calibri" w:hAnsi="Calibri" w:cs="Calibri"/>
        </w:rPr>
        <w:t xml:space="preserve"> paraverksamhet.</w:t>
      </w:r>
    </w:p>
    <w:p w14:paraId="391218B7" w14:textId="44CEE63C" w:rsidR="0051431D" w:rsidRPr="0051431D" w:rsidRDefault="0051431D" w:rsidP="0051431D">
      <w:pPr>
        <w:numPr>
          <w:ilvl w:val="0"/>
          <w:numId w:val="1"/>
        </w:numPr>
        <w:rPr>
          <w:rFonts w:ascii="Calibri" w:hAnsi="Calibri" w:cs="Calibri"/>
        </w:rPr>
      </w:pPr>
      <w:r w:rsidRPr="0051431D">
        <w:rPr>
          <w:rFonts w:ascii="Calibri" w:hAnsi="Calibri" w:cs="Calibri"/>
          <w:b/>
          <w:bCs/>
        </w:rPr>
        <w:t>15 av 22</w:t>
      </w:r>
      <w:r w:rsidRPr="0051431D">
        <w:rPr>
          <w:rFonts w:ascii="Calibri" w:hAnsi="Calibri" w:cs="Calibri"/>
        </w:rPr>
        <w:t xml:space="preserve"> föreningar bedriver projekt</w:t>
      </w:r>
      <w:r w:rsidR="006B46A6">
        <w:rPr>
          <w:rFonts w:ascii="Calibri" w:hAnsi="Calibri" w:cs="Calibri"/>
        </w:rPr>
        <w:t xml:space="preserve"> och initiativ</w:t>
      </w:r>
      <w:r w:rsidRPr="0051431D">
        <w:rPr>
          <w:rFonts w:ascii="Calibri" w:hAnsi="Calibri" w:cs="Calibri"/>
        </w:rPr>
        <w:t xml:space="preserve"> för att stärka lokalsamhället, </w:t>
      </w:r>
      <w:proofErr w:type="gramStart"/>
      <w:r w:rsidRPr="0051431D">
        <w:rPr>
          <w:rFonts w:ascii="Calibri" w:hAnsi="Calibri" w:cs="Calibri"/>
        </w:rPr>
        <w:t>t.ex.</w:t>
      </w:r>
      <w:proofErr w:type="gramEnd"/>
      <w:r w:rsidRPr="0051431D">
        <w:rPr>
          <w:rFonts w:ascii="Calibri" w:hAnsi="Calibri" w:cs="Calibri"/>
        </w:rPr>
        <w:t xml:space="preserve"> nattvandring, e-sport och aktiviteter för seniorer.</w:t>
      </w:r>
    </w:p>
    <w:p w14:paraId="064AF5EE" w14:textId="77777777" w:rsidR="0051431D" w:rsidRPr="0051431D" w:rsidRDefault="0051431D" w:rsidP="0051431D">
      <w:pPr>
        <w:rPr>
          <w:rFonts w:ascii="Calibri" w:hAnsi="Calibri" w:cs="Calibri"/>
        </w:rPr>
      </w:pPr>
      <w:r w:rsidRPr="0051431D">
        <w:rPr>
          <w:rFonts w:ascii="Calibri" w:hAnsi="Calibri" w:cs="Calibri"/>
        </w:rPr>
        <w:t>– Bakom siffrorna finns tusentals barn och unga som fått en meningsfull fritid, vuxna som engagerat sig ideellt och föreningar som tagit ett aktivt ansvar för att bidra till ett mer inkluderande och hållbart samhälle. Tillsammans visar vi att idrotten har kraft att förändra samhället – på riktigt, säger Peter Gentzel.</w:t>
      </w:r>
    </w:p>
    <w:p w14:paraId="7DEE9DF7" w14:textId="77777777" w:rsidR="0051431D" w:rsidRDefault="0051431D" w:rsidP="0051431D">
      <w:pPr>
        <w:rPr>
          <w:rFonts w:ascii="Calibri" w:hAnsi="Calibri" w:cs="Calibri"/>
          <w:b/>
          <w:bCs/>
        </w:rPr>
      </w:pPr>
    </w:p>
    <w:p w14:paraId="04C96FF3" w14:textId="7601BF04" w:rsidR="0051431D" w:rsidRDefault="0051431D" w:rsidP="0051431D">
      <w:pPr>
        <w:rPr>
          <w:rFonts w:ascii="Calibri" w:hAnsi="Calibri" w:cs="Calibri"/>
        </w:rPr>
      </w:pPr>
      <w:r w:rsidRPr="0051431D">
        <w:rPr>
          <w:rFonts w:ascii="Calibri" w:hAnsi="Calibri" w:cs="Calibri"/>
          <w:b/>
          <w:bCs/>
        </w:rPr>
        <w:t>För mer information, intervjuförfrågningar eller tillgång till hela rapporten, kontakta:</w:t>
      </w:r>
      <w:r w:rsidRPr="0051431D">
        <w:rPr>
          <w:rFonts w:ascii="Calibri" w:hAnsi="Calibri" w:cs="Calibri"/>
        </w:rPr>
        <w:br/>
        <w:t>Peter Gentzel, VD för Svensk Elithandboll</w:t>
      </w:r>
      <w:r w:rsidRPr="0051431D">
        <w:rPr>
          <w:rFonts w:ascii="Calibri" w:hAnsi="Calibri" w:cs="Calibri"/>
        </w:rPr>
        <w:br/>
      </w:r>
      <w:hyperlink r:id="rId8" w:history="1">
        <w:r w:rsidRPr="0051431D">
          <w:rPr>
            <w:rStyle w:val="Hyperlnk"/>
            <w:rFonts w:ascii="Calibri" w:hAnsi="Calibri" w:cs="Calibri"/>
          </w:rPr>
          <w:t>peter.gentzel@elithandboll.se</w:t>
        </w:r>
      </w:hyperlink>
    </w:p>
    <w:p w14:paraId="5DE7412A" w14:textId="77777777" w:rsidR="0051431D" w:rsidRDefault="0051431D"/>
    <w:sectPr w:rsidR="00514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C5074"/>
    <w:multiLevelType w:val="multilevel"/>
    <w:tmpl w:val="82A6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3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1D"/>
    <w:rsid w:val="000301F2"/>
    <w:rsid w:val="00282F9C"/>
    <w:rsid w:val="00317C84"/>
    <w:rsid w:val="0051431D"/>
    <w:rsid w:val="006B46A6"/>
    <w:rsid w:val="00985991"/>
    <w:rsid w:val="009D4935"/>
    <w:rsid w:val="00B95CE6"/>
    <w:rsid w:val="00C05BB8"/>
    <w:rsid w:val="00E07CB4"/>
    <w:rsid w:val="00EC1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99D1B8"/>
  <w15:chartTrackingRefBased/>
  <w15:docId w15:val="{7F83B11F-C9E9-7641-ABEB-377BDF19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14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14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1431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1431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1431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143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143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143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143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431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1431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1431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1431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1431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143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143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143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1431D"/>
    <w:rPr>
      <w:rFonts w:eastAsiaTheme="majorEastAsia" w:cstheme="majorBidi"/>
      <w:color w:val="272727" w:themeColor="text1" w:themeTint="D8"/>
    </w:rPr>
  </w:style>
  <w:style w:type="paragraph" w:styleId="Rubrik">
    <w:name w:val="Title"/>
    <w:basedOn w:val="Normal"/>
    <w:next w:val="Normal"/>
    <w:link w:val="RubrikChar"/>
    <w:uiPriority w:val="10"/>
    <w:qFormat/>
    <w:rsid w:val="00514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143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143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143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431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1431D"/>
    <w:rPr>
      <w:i/>
      <w:iCs/>
      <w:color w:val="404040" w:themeColor="text1" w:themeTint="BF"/>
    </w:rPr>
  </w:style>
  <w:style w:type="paragraph" w:styleId="Liststycke">
    <w:name w:val="List Paragraph"/>
    <w:basedOn w:val="Normal"/>
    <w:uiPriority w:val="34"/>
    <w:qFormat/>
    <w:rsid w:val="0051431D"/>
    <w:pPr>
      <w:ind w:left="720"/>
      <w:contextualSpacing/>
    </w:pPr>
  </w:style>
  <w:style w:type="character" w:styleId="Starkbetoning">
    <w:name w:val="Intense Emphasis"/>
    <w:basedOn w:val="Standardstycketeckensnitt"/>
    <w:uiPriority w:val="21"/>
    <w:qFormat/>
    <w:rsid w:val="0051431D"/>
    <w:rPr>
      <w:i/>
      <w:iCs/>
      <w:color w:val="0F4761" w:themeColor="accent1" w:themeShade="BF"/>
    </w:rPr>
  </w:style>
  <w:style w:type="paragraph" w:styleId="Starktcitat">
    <w:name w:val="Intense Quote"/>
    <w:basedOn w:val="Normal"/>
    <w:next w:val="Normal"/>
    <w:link w:val="StarktcitatChar"/>
    <w:uiPriority w:val="30"/>
    <w:qFormat/>
    <w:rsid w:val="00514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1431D"/>
    <w:rPr>
      <w:i/>
      <w:iCs/>
      <w:color w:val="0F4761" w:themeColor="accent1" w:themeShade="BF"/>
    </w:rPr>
  </w:style>
  <w:style w:type="character" w:styleId="Starkreferens">
    <w:name w:val="Intense Reference"/>
    <w:basedOn w:val="Standardstycketeckensnitt"/>
    <w:uiPriority w:val="32"/>
    <w:qFormat/>
    <w:rsid w:val="0051431D"/>
    <w:rPr>
      <w:b/>
      <w:bCs/>
      <w:smallCaps/>
      <w:color w:val="0F4761" w:themeColor="accent1" w:themeShade="BF"/>
      <w:spacing w:val="5"/>
    </w:rPr>
  </w:style>
  <w:style w:type="character" w:styleId="Hyperlnk">
    <w:name w:val="Hyperlink"/>
    <w:basedOn w:val="Standardstycketeckensnitt"/>
    <w:uiPriority w:val="99"/>
    <w:unhideWhenUsed/>
    <w:rsid w:val="0051431D"/>
    <w:rPr>
      <w:color w:val="467886" w:themeColor="hyperlink"/>
      <w:u w:val="single"/>
    </w:rPr>
  </w:style>
  <w:style w:type="character" w:styleId="Olstomnmnande">
    <w:name w:val="Unresolved Mention"/>
    <w:basedOn w:val="Standardstycketeckensnitt"/>
    <w:uiPriority w:val="99"/>
    <w:semiHidden/>
    <w:unhideWhenUsed/>
    <w:rsid w:val="0051431D"/>
    <w:rPr>
      <w:color w:val="605E5C"/>
      <w:shd w:val="clear" w:color="auto" w:fill="E1DFDD"/>
    </w:rPr>
  </w:style>
  <w:style w:type="paragraph" w:styleId="Normalwebb">
    <w:name w:val="Normal (Web)"/>
    <w:basedOn w:val="Normal"/>
    <w:uiPriority w:val="99"/>
    <w:semiHidden/>
    <w:unhideWhenUsed/>
    <w:rsid w:val="009859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8022">
      <w:bodyDiv w:val="1"/>
      <w:marLeft w:val="0"/>
      <w:marRight w:val="0"/>
      <w:marTop w:val="0"/>
      <w:marBottom w:val="0"/>
      <w:divBdr>
        <w:top w:val="none" w:sz="0" w:space="0" w:color="auto"/>
        <w:left w:val="none" w:sz="0" w:space="0" w:color="auto"/>
        <w:bottom w:val="none" w:sz="0" w:space="0" w:color="auto"/>
        <w:right w:val="none" w:sz="0" w:space="0" w:color="auto"/>
      </w:divBdr>
    </w:div>
    <w:div w:id="1050150633">
      <w:bodyDiv w:val="1"/>
      <w:marLeft w:val="0"/>
      <w:marRight w:val="0"/>
      <w:marTop w:val="0"/>
      <w:marBottom w:val="0"/>
      <w:divBdr>
        <w:top w:val="none" w:sz="0" w:space="0" w:color="auto"/>
        <w:left w:val="none" w:sz="0" w:space="0" w:color="auto"/>
        <w:bottom w:val="none" w:sz="0" w:space="0" w:color="auto"/>
        <w:right w:val="none" w:sz="0" w:space="0" w:color="auto"/>
      </w:divBdr>
    </w:div>
    <w:div w:id="1759935161">
      <w:bodyDiv w:val="1"/>
      <w:marLeft w:val="0"/>
      <w:marRight w:val="0"/>
      <w:marTop w:val="0"/>
      <w:marBottom w:val="0"/>
      <w:divBdr>
        <w:top w:val="none" w:sz="0" w:space="0" w:color="auto"/>
        <w:left w:val="none" w:sz="0" w:space="0" w:color="auto"/>
        <w:bottom w:val="none" w:sz="0" w:space="0" w:color="auto"/>
        <w:right w:val="none" w:sz="0" w:space="0" w:color="auto"/>
      </w:divBdr>
      <w:divsChild>
        <w:div w:id="1702129084">
          <w:marLeft w:val="0"/>
          <w:marRight w:val="0"/>
          <w:marTop w:val="0"/>
          <w:marBottom w:val="0"/>
          <w:divBdr>
            <w:top w:val="none" w:sz="0" w:space="0" w:color="auto"/>
            <w:left w:val="none" w:sz="0" w:space="0" w:color="auto"/>
            <w:bottom w:val="none" w:sz="0" w:space="0" w:color="auto"/>
            <w:right w:val="none" w:sz="0" w:space="0" w:color="auto"/>
          </w:divBdr>
          <w:divsChild>
            <w:div w:id="991912879">
              <w:marLeft w:val="0"/>
              <w:marRight w:val="0"/>
              <w:marTop w:val="0"/>
              <w:marBottom w:val="0"/>
              <w:divBdr>
                <w:top w:val="none" w:sz="0" w:space="0" w:color="auto"/>
                <w:left w:val="none" w:sz="0" w:space="0" w:color="auto"/>
                <w:bottom w:val="none" w:sz="0" w:space="0" w:color="auto"/>
                <w:right w:val="none" w:sz="0" w:space="0" w:color="auto"/>
              </w:divBdr>
              <w:divsChild>
                <w:div w:id="2127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entzel@elithandboll.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CD764D81355240BB6F491280ABB9B3" ma:contentTypeVersion="16" ma:contentTypeDescription="Skapa ett nytt dokument." ma:contentTypeScope="" ma:versionID="dc570f3907098484aad6b97ac1572040">
  <xsd:schema xmlns:xsd="http://www.w3.org/2001/XMLSchema" xmlns:xs="http://www.w3.org/2001/XMLSchema" xmlns:p="http://schemas.microsoft.com/office/2006/metadata/properties" xmlns:ns2="0adb13ab-7ea9-45e2-85ac-cafeb3ed88c7" xmlns:ns3="b8f0ec75-2403-4ef6-9ea4-6c69eae6afa3" targetNamespace="http://schemas.microsoft.com/office/2006/metadata/properties" ma:root="true" ma:fieldsID="6ff5017e4feb91e904f36222045a84ed" ns2:_="" ns3:_="">
    <xsd:import namespace="0adb13ab-7ea9-45e2-85ac-cafeb3ed88c7"/>
    <xsd:import namespace="b8f0ec75-2403-4ef6-9ea4-6c69eae6af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b13ab-7ea9-45e2-85ac-cafeb3ed8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40144c43-6b18-4d3c-a119-67334a424c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0ec75-2403-4ef6-9ea4-6c69eae6af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b9bb54-f2b5-4188-9021-fa3d916b89bf}" ma:internalName="TaxCatchAll" ma:showField="CatchAllData" ma:web="b8f0ec75-2403-4ef6-9ea4-6c69eae6af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f0ec75-2403-4ef6-9ea4-6c69eae6afa3" xsi:nil="true"/>
    <lcf76f155ced4ddcb4097134ff3c332f xmlns="0adb13ab-7ea9-45e2-85ac-cafeb3ed88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C101C5-7EB4-4FF0-B400-08EBB3FF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b13ab-7ea9-45e2-85ac-cafeb3ed88c7"/>
    <ds:schemaRef ds:uri="b8f0ec75-2403-4ef6-9ea4-6c69eae6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C553C-8F9D-45F9-852F-B6DC93D8E98E}">
  <ds:schemaRefs>
    <ds:schemaRef ds:uri="http://schemas.microsoft.com/sharepoint/v3/contenttype/forms"/>
  </ds:schemaRefs>
</ds:datastoreItem>
</file>

<file path=customXml/itemProps3.xml><?xml version="1.0" encoding="utf-8"?>
<ds:datastoreItem xmlns:ds="http://schemas.openxmlformats.org/officeDocument/2006/customXml" ds:itemID="{3DDA22BC-E0A1-468B-8D46-E277FA5E6A2B}">
  <ds:schemaRefs>
    <ds:schemaRef ds:uri="http://schemas.microsoft.com/office/2006/metadata/properties"/>
    <ds:schemaRef ds:uri="http://schemas.microsoft.com/office/infopath/2007/PartnerControls"/>
    <ds:schemaRef ds:uri="b8f0ec75-2403-4ef6-9ea4-6c69eae6afa3"/>
    <ds:schemaRef ds:uri="0adb13ab-7ea9-45e2-85ac-cafeb3ed88c7"/>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Fransson</dc:creator>
  <cp:keywords/>
  <dc:description/>
  <cp:lastModifiedBy>Frans Fransson</cp:lastModifiedBy>
  <cp:revision>5</cp:revision>
  <dcterms:created xsi:type="dcterms:W3CDTF">2025-10-01T17:07:00Z</dcterms:created>
  <dcterms:modified xsi:type="dcterms:W3CDTF">2025-10-02T08:51:00Z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0x010100A7CD764D81355240BB6F491280ABB9B3</vt:lpwstr>
  </property>
  <property fmtid="{D5CDD505-2E9C-101B-9397-08002B2CF9AE}" pid="3" name="MediaServiceImageTags">
    <vt:lpwstr/>
  </property>
</Properties>
</file>